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140E" w:rsidRPr="005C402E" w:rsidRDefault="00D9140E" w:rsidP="00B1003A">
      <w:pPr>
        <w:spacing w:after="0"/>
        <w:ind w:left="993"/>
        <w:jc w:val="center"/>
        <w:rPr>
          <w:b/>
          <w:u w:val="single"/>
        </w:rPr>
      </w:pPr>
    </w:p>
    <w:p w:rsidR="00D9140E" w:rsidRPr="005C402E" w:rsidRDefault="00D9140E" w:rsidP="005C402E">
      <w:pPr>
        <w:spacing w:after="0"/>
        <w:rPr>
          <w:b/>
        </w:rPr>
      </w:pPr>
      <w:r w:rsidRPr="005C402E">
        <w:rPr>
          <w:b/>
        </w:rPr>
        <w:t>Liste des événements à notifier</w:t>
      </w:r>
      <w:r w:rsidR="003B36CD" w:rsidRPr="005C402E">
        <w:rPr>
          <w:b/>
        </w:rPr>
        <w:t xml:space="preserve">. Extrait du règlement d’exécution </w:t>
      </w:r>
      <w:r w:rsidRPr="005C402E">
        <w:rPr>
          <w:b/>
        </w:rPr>
        <w:t>(UE) 2015/1018</w:t>
      </w:r>
      <w:r w:rsidR="003B36CD" w:rsidRPr="005C402E">
        <w:rPr>
          <w:b/>
        </w:rPr>
        <w:t xml:space="preserve"> de la commission du 29 juin 2015.</w:t>
      </w:r>
    </w:p>
    <w:p w:rsidR="00D9140E" w:rsidRPr="005C402E" w:rsidRDefault="00D9140E" w:rsidP="00B1003A">
      <w:pPr>
        <w:spacing w:after="0"/>
        <w:jc w:val="center"/>
      </w:pPr>
      <w:r w:rsidRPr="005C402E">
        <w:t>ANNEXE V</w:t>
      </w:r>
    </w:p>
    <w:p w:rsidR="00D9140E" w:rsidRPr="005C402E" w:rsidRDefault="00D9140E" w:rsidP="005C402E">
      <w:pPr>
        <w:spacing w:after="0"/>
        <w:jc w:val="center"/>
      </w:pPr>
      <w:r w:rsidRPr="005C402E">
        <w:t>ÉVÉNEMENTS LIÉS AUX AÉRONEFS AUTRES QUE LES AÉRONEFS MOTORISÉS COMPLEXES, Y COMPRIS AUX PLANEURS ET AUX VÉHICULES PLUS LÉGERS QUE L'AIR</w:t>
      </w:r>
    </w:p>
    <w:p w:rsidR="00D9140E" w:rsidRPr="005C402E" w:rsidRDefault="00D9140E" w:rsidP="005C402E">
      <w:pPr>
        <w:spacing w:after="0" w:line="240" w:lineRule="auto"/>
      </w:pPr>
      <w:r w:rsidRPr="005C402E">
        <w:rPr>
          <w:b/>
        </w:rPr>
        <w:t>Aux fins de la présente annexe, on entend par</w:t>
      </w:r>
      <w:r w:rsidRPr="005C402E">
        <w:t xml:space="preserve"> :</w:t>
      </w:r>
    </w:p>
    <w:p w:rsidR="00D9140E" w:rsidRPr="005C402E" w:rsidRDefault="00D9140E" w:rsidP="006C1D24">
      <w:pPr>
        <w:spacing w:after="0" w:line="240" w:lineRule="auto"/>
        <w:ind w:left="567" w:hanging="284"/>
      </w:pPr>
      <w:r w:rsidRPr="005C402E">
        <w:t>a) « aéronef autre que les aéronefs motorisés complexes » tout aéronef autre que ceux définis à l'article 3, point j), du règlement (CE) n° 216/2008 ;</w:t>
      </w:r>
    </w:p>
    <w:p w:rsidR="00D9140E" w:rsidRPr="005C402E" w:rsidRDefault="00D9140E" w:rsidP="006C1D24">
      <w:pPr>
        <w:spacing w:after="0" w:line="240" w:lineRule="auto"/>
        <w:ind w:left="567" w:hanging="284"/>
      </w:pPr>
      <w:r w:rsidRPr="005C402E">
        <w:t xml:space="preserve">b) « planeur » un appareil répondant à la définition de l'article 2, paragraphe 117, du règlement d'exécution (UE) n° 923/2012 de la Commission </w:t>
      </w:r>
      <w:proofErr w:type="gramStart"/>
      <w:r w:rsidRPr="005C402E">
        <w:t>( )</w:t>
      </w:r>
      <w:proofErr w:type="gramEnd"/>
      <w:r w:rsidRPr="005C402E">
        <w:t>;</w:t>
      </w:r>
    </w:p>
    <w:p w:rsidR="00D9140E" w:rsidRPr="005C402E" w:rsidRDefault="00D9140E" w:rsidP="006C1D24">
      <w:pPr>
        <w:spacing w:after="0" w:line="240" w:lineRule="auto"/>
        <w:ind w:left="567" w:hanging="284"/>
      </w:pPr>
      <w:r w:rsidRPr="005C402E">
        <w:t>c) «</w:t>
      </w:r>
      <w:r w:rsidRPr="005C402E">
        <w:rPr>
          <w:b/>
          <w:u w:val="single"/>
        </w:rPr>
        <w:t xml:space="preserve"> véhicule plus léger que l’air »</w:t>
      </w:r>
      <w:r w:rsidRPr="005C402E">
        <w:t xml:space="preserve"> un appareil répondant à la définition du point ML10 de la partie « Définition des termes utilisés dans cette liste » de l'annexe à la directive 2009/43/CE du Parlement européen et du Conseil.</w:t>
      </w:r>
    </w:p>
    <w:p w:rsidR="00D9140E" w:rsidRPr="005C402E" w:rsidRDefault="00D9140E" w:rsidP="005C402E">
      <w:pPr>
        <w:spacing w:after="0" w:line="240" w:lineRule="auto"/>
        <w:rPr>
          <w:b/>
        </w:rPr>
      </w:pPr>
      <w:r w:rsidRPr="005C402E">
        <w:rPr>
          <w:b/>
        </w:rPr>
        <w:t xml:space="preserve">3. </w:t>
      </w:r>
      <w:r w:rsidRPr="005C402E">
        <w:rPr>
          <w:b/>
        </w:rPr>
        <w:tab/>
        <w:t>VÉHICULES PLUS LÉGERS QUE L'AIR (BALLONS ET DIRIGEABLES)</w:t>
      </w:r>
    </w:p>
    <w:p w:rsidR="00D9140E" w:rsidRPr="005C402E" w:rsidRDefault="00D9140E" w:rsidP="005C402E">
      <w:pPr>
        <w:spacing w:after="0" w:line="240" w:lineRule="auto"/>
      </w:pPr>
      <w:r w:rsidRPr="005C402E">
        <w:rPr>
          <w:u w:val="single"/>
        </w:rPr>
        <w:t xml:space="preserve">Remarque </w:t>
      </w:r>
      <w:r w:rsidRPr="005C402E">
        <w:t>:</w:t>
      </w:r>
    </w:p>
    <w:p w:rsidR="00D9140E" w:rsidRPr="005C402E" w:rsidRDefault="00D9140E" w:rsidP="005C402E">
      <w:pPr>
        <w:spacing w:after="0" w:line="240" w:lineRule="auto"/>
      </w:pPr>
      <w:r w:rsidRPr="005C402E">
        <w:t>La présente annexe est structurée de telle sorte que les événements pertinents sont rattachés aux catégories d'activités au cours desquelles ils sont normalement observés, compte tenu de l'expérience acquise, et ce afin d'en faciliter la notification. Toutefois, cette présentation ne signifie en rien qu'il ne faut pas notifier les événements au cas où ils se produiraient hors de la catégorie d'activités à laquelle ils se rattachent sur la liste.</w:t>
      </w:r>
    </w:p>
    <w:p w:rsidR="005C402E" w:rsidRDefault="005C402E" w:rsidP="005C402E">
      <w:pPr>
        <w:spacing w:after="0" w:line="240" w:lineRule="auto"/>
        <w:rPr>
          <w:b/>
        </w:rPr>
      </w:pPr>
    </w:p>
    <w:p w:rsidR="00D9140E" w:rsidRPr="005C402E" w:rsidRDefault="00D9140E" w:rsidP="005C402E">
      <w:pPr>
        <w:spacing w:after="0" w:line="240" w:lineRule="auto"/>
      </w:pPr>
      <w:r w:rsidRPr="005C402E">
        <w:rPr>
          <w:b/>
        </w:rPr>
        <w:t>3.1.</w:t>
      </w:r>
      <w:r w:rsidR="006C1D24">
        <w:rPr>
          <w:b/>
        </w:rPr>
        <w:t xml:space="preserve">  </w:t>
      </w:r>
      <w:proofErr w:type="gramStart"/>
      <w:r w:rsidRPr="005C402E">
        <w:rPr>
          <w:b/>
        </w:rPr>
        <w:t>Opérations</w:t>
      </w:r>
      <w:proofErr w:type="gramEnd"/>
      <w:r w:rsidRPr="005C402E">
        <w:rPr>
          <w:b/>
        </w:rPr>
        <w:t xml:space="preserve"> aériennes</w:t>
      </w:r>
    </w:p>
    <w:p w:rsidR="00D9140E" w:rsidRPr="005C402E" w:rsidRDefault="00D9140E" w:rsidP="006C1D24">
      <w:pPr>
        <w:spacing w:after="0" w:line="240" w:lineRule="auto"/>
        <w:ind w:left="567" w:hanging="283"/>
      </w:pPr>
      <w:r w:rsidRPr="005C402E">
        <w:t xml:space="preserve">1) Tout vol effectué au moyen d'un véhicule plus léger que l'air inapte au vol ou pour lequel une préparation de vol incomplète a mis ou aurait pu mettre en danger le véhicule, ses occupants ou toute autre personne. </w:t>
      </w:r>
    </w:p>
    <w:p w:rsidR="00D9140E" w:rsidRDefault="00D9140E" w:rsidP="006C1D24">
      <w:pPr>
        <w:spacing w:after="0" w:line="240" w:lineRule="auto"/>
        <w:ind w:left="567" w:hanging="283"/>
      </w:pPr>
      <w:r w:rsidRPr="005C402E">
        <w:t>2) Extinction permanente involontaire de la veilleuse.</w:t>
      </w:r>
    </w:p>
    <w:p w:rsidR="005C402E" w:rsidRPr="005C402E" w:rsidRDefault="005C402E" w:rsidP="005C402E">
      <w:pPr>
        <w:spacing w:after="0" w:line="240" w:lineRule="auto"/>
        <w:ind w:hanging="283"/>
      </w:pPr>
    </w:p>
    <w:p w:rsidR="00D9140E" w:rsidRPr="005C402E" w:rsidRDefault="00D9140E" w:rsidP="005C402E">
      <w:pPr>
        <w:spacing w:after="0" w:line="240" w:lineRule="auto"/>
      </w:pPr>
      <w:r w:rsidRPr="005C402E">
        <w:rPr>
          <w:b/>
        </w:rPr>
        <w:t>3.2</w:t>
      </w:r>
      <w:r w:rsidRPr="005C402E">
        <w:t xml:space="preserve">.  </w:t>
      </w:r>
      <w:r w:rsidRPr="005C402E">
        <w:rPr>
          <w:b/>
        </w:rPr>
        <w:t>Événements techniques</w:t>
      </w:r>
    </w:p>
    <w:p w:rsidR="00D9140E" w:rsidRPr="005C402E" w:rsidRDefault="00D9140E" w:rsidP="006C1D24">
      <w:pPr>
        <w:spacing w:after="0" w:line="240" w:lineRule="auto"/>
        <w:ind w:left="567" w:hanging="283"/>
      </w:pPr>
      <w:r w:rsidRPr="005C402E">
        <w:t xml:space="preserve">1) Défaillance de l'une des pièces ou commandes suivantes : tube plongeur du cylindre de gaz, poulie d'enveloppe, suspente de manœuvre, corde d'amarrage, fuite du joint de vanne de brûleur ou de cylindre de gaz, mousqueton, circuit de gaz, soupape de gaz de sustentation, enveloppe ou ballonnet, ventilateur, clapet de surpression (ballons à gaz), treuil (ballons captifs). </w:t>
      </w:r>
    </w:p>
    <w:p w:rsidR="00D9140E" w:rsidRPr="005C402E" w:rsidRDefault="00D9140E" w:rsidP="006C1D24">
      <w:pPr>
        <w:spacing w:after="0" w:line="240" w:lineRule="auto"/>
        <w:ind w:left="567" w:hanging="283"/>
      </w:pPr>
      <w:r w:rsidRPr="005C402E">
        <w:t>2) Fuite ou perte importante de gaz de sustentation (par exemple porosité, délogement des soupapes de gaz).</w:t>
      </w:r>
    </w:p>
    <w:p w:rsidR="00D9140E" w:rsidRPr="005C402E" w:rsidRDefault="00D9140E" w:rsidP="005C402E">
      <w:pPr>
        <w:spacing w:after="0" w:line="240" w:lineRule="auto"/>
      </w:pPr>
    </w:p>
    <w:p w:rsidR="00D9140E" w:rsidRPr="005C402E" w:rsidRDefault="00D9140E" w:rsidP="005C402E">
      <w:pPr>
        <w:spacing w:after="0" w:line="240" w:lineRule="auto"/>
        <w:rPr>
          <w:b/>
        </w:rPr>
      </w:pPr>
      <w:r w:rsidRPr="005C402E">
        <w:rPr>
          <w:b/>
        </w:rPr>
        <w:t>3.3.  Interaction avec les services de navigation aérienne et la gestion du trafic aérien</w:t>
      </w:r>
    </w:p>
    <w:p w:rsidR="00D9140E" w:rsidRPr="005C402E" w:rsidRDefault="006C1D24" w:rsidP="006C1D24">
      <w:pPr>
        <w:pStyle w:val="Paragraphedeliste"/>
        <w:spacing w:after="0" w:line="240" w:lineRule="auto"/>
        <w:ind w:left="567" w:hanging="283"/>
      </w:pPr>
      <w:r>
        <w:t>1</w:t>
      </w:r>
      <w:r w:rsidRPr="005C402E">
        <w:t xml:space="preserve">) </w:t>
      </w:r>
      <w:r w:rsidR="00D9140E" w:rsidRPr="005C402E">
        <w:t xml:space="preserve">Interaction avec les services de navigation aérienne (par exemple fourniture de services incorrects, communications contradictoires ou écart par rapport à l'autorisation) qui a mis ou aurait pu mettre en danger le véhicule plus léger que l'air, ses occupants ou toute autre personne. </w:t>
      </w:r>
    </w:p>
    <w:p w:rsidR="00D9140E" w:rsidRPr="005C402E" w:rsidRDefault="00D9140E" w:rsidP="006C1D24">
      <w:pPr>
        <w:spacing w:after="0" w:line="240" w:lineRule="auto"/>
        <w:ind w:left="567" w:hanging="283"/>
      </w:pPr>
      <w:r w:rsidRPr="005C402E">
        <w:t>2) Non-respect de l'espace aérien.</w:t>
      </w:r>
    </w:p>
    <w:p w:rsidR="00D9140E" w:rsidRPr="005C402E" w:rsidRDefault="00D9140E" w:rsidP="005C402E">
      <w:pPr>
        <w:spacing w:after="0" w:line="240" w:lineRule="auto"/>
        <w:ind w:hanging="283"/>
      </w:pPr>
    </w:p>
    <w:p w:rsidR="00D9140E" w:rsidRPr="005C402E" w:rsidRDefault="00D9140E" w:rsidP="005C402E">
      <w:pPr>
        <w:spacing w:after="0" w:line="240" w:lineRule="auto"/>
        <w:rPr>
          <w:b/>
        </w:rPr>
      </w:pPr>
      <w:r w:rsidRPr="005C402E">
        <w:rPr>
          <w:b/>
        </w:rPr>
        <w:t>3.4.  Urgences et autres situations critiques</w:t>
      </w:r>
    </w:p>
    <w:p w:rsidR="00D9140E" w:rsidRPr="005C402E" w:rsidRDefault="006C1D24" w:rsidP="006C1D24">
      <w:pPr>
        <w:pStyle w:val="Paragraphedeliste"/>
        <w:spacing w:after="0" w:line="240" w:lineRule="auto"/>
        <w:ind w:left="567" w:hanging="283"/>
      </w:pPr>
      <w:r>
        <w:t xml:space="preserve">1) </w:t>
      </w:r>
      <w:r w:rsidR="00D9140E" w:rsidRPr="005C402E">
        <w:t>Tout événement entraînant un appel d'urgence.</w:t>
      </w:r>
    </w:p>
    <w:p w:rsidR="00D9140E" w:rsidRPr="005C402E" w:rsidRDefault="00D9140E" w:rsidP="006C1D24">
      <w:pPr>
        <w:spacing w:after="0" w:line="240" w:lineRule="auto"/>
        <w:ind w:left="567" w:hanging="283"/>
      </w:pPr>
      <w:r w:rsidRPr="005C402E">
        <w:t xml:space="preserve">2) Incendie, explosion, fumée ou émanations toxiques à l'intérieur du véhicule plus léger que l'air (hors fonctionnement normal du brûleur). </w:t>
      </w:r>
    </w:p>
    <w:p w:rsidR="00D9140E" w:rsidRPr="005C402E" w:rsidRDefault="00D9140E" w:rsidP="006C1D24">
      <w:pPr>
        <w:spacing w:after="0" w:line="240" w:lineRule="auto"/>
        <w:ind w:left="567" w:hanging="283"/>
      </w:pPr>
      <w:r w:rsidRPr="005C402E">
        <w:t xml:space="preserve">3) Chute d'un occupant du véhicule plus léger que l'air hors de la nacelle ou de la gondole. </w:t>
      </w:r>
    </w:p>
    <w:p w:rsidR="00D9140E" w:rsidRPr="005C402E" w:rsidRDefault="00D9140E" w:rsidP="006C1D24">
      <w:pPr>
        <w:spacing w:after="0" w:line="240" w:lineRule="auto"/>
        <w:ind w:left="567" w:hanging="283"/>
      </w:pPr>
      <w:r w:rsidRPr="005C402E">
        <w:t xml:space="preserve">4) Incapacité du pilote entraînant l'impossibilité d'effectuer toute tâche. </w:t>
      </w:r>
    </w:p>
    <w:p w:rsidR="00D9140E" w:rsidRPr="005C402E" w:rsidRDefault="00D9140E" w:rsidP="006C1D24">
      <w:pPr>
        <w:spacing w:after="0" w:line="240" w:lineRule="auto"/>
        <w:ind w:left="567" w:hanging="283"/>
      </w:pPr>
      <w:r w:rsidRPr="005C402E">
        <w:t>5) Manœuvre involontaire ayant pour effet de soulever ou de traîner un membre de l'équipe au sol et pour conséquence de blesser ou de tuer la personne.</w:t>
      </w:r>
    </w:p>
    <w:p w:rsidR="00D9140E" w:rsidRPr="005C402E" w:rsidRDefault="00D9140E" w:rsidP="005C402E">
      <w:pPr>
        <w:spacing w:after="0" w:line="240" w:lineRule="auto"/>
      </w:pPr>
    </w:p>
    <w:p w:rsidR="00D9140E" w:rsidRPr="005C402E" w:rsidRDefault="00D9140E" w:rsidP="005C402E">
      <w:pPr>
        <w:spacing w:after="0" w:line="240" w:lineRule="auto"/>
      </w:pPr>
      <w:r w:rsidRPr="005C402E">
        <w:rPr>
          <w:b/>
        </w:rPr>
        <w:t>3.5.  Environnement extérieur et météorologie</w:t>
      </w:r>
    </w:p>
    <w:p w:rsidR="00D9140E" w:rsidRPr="005C402E" w:rsidRDefault="00D9140E" w:rsidP="006C1D24">
      <w:pPr>
        <w:spacing w:after="0" w:line="240" w:lineRule="auto"/>
        <w:ind w:left="567" w:hanging="283"/>
      </w:pPr>
      <w:r w:rsidRPr="005C402E">
        <w:t>1) Collision ou quasi-collision, au sol ou en l'air, avec un aéronef, le sol ou un obstacle (), qui a mis ou aurait pu mettre en danger le véhicule plus léger que l'air, ses occupants ou toute autre personne.</w:t>
      </w:r>
    </w:p>
    <w:p w:rsidR="00D9140E" w:rsidRPr="005C402E" w:rsidRDefault="00D9140E" w:rsidP="006C1D24">
      <w:pPr>
        <w:spacing w:after="0" w:line="240" w:lineRule="auto"/>
        <w:ind w:left="567" w:hanging="283"/>
      </w:pPr>
      <w:r w:rsidRPr="005C402E">
        <w:t xml:space="preserve">2) Interférence avec le véhicule plus léger que l'air causée par des armes à feu, feux d'artifice, cerfs-volants, illuminations laser, lumières puissantes, lasers, aéronefs télé pilotés, modèles réduits ou par des moyens similaires. </w:t>
      </w:r>
    </w:p>
    <w:p w:rsidR="00D9140E" w:rsidRPr="005C402E" w:rsidRDefault="00D9140E" w:rsidP="006C1D24">
      <w:pPr>
        <w:spacing w:after="0" w:line="240" w:lineRule="auto"/>
        <w:ind w:left="567" w:hanging="283"/>
      </w:pPr>
      <w:r w:rsidRPr="005C402E">
        <w:t xml:space="preserve">3) Mauvaises conditions météorologiques imprévues qui ont mis ou auraient pu mettre en danger le véhicule plus léger que l'air, ses occupants ou toute autre personne. </w:t>
      </w:r>
    </w:p>
    <w:p w:rsidR="00A07440" w:rsidRPr="005C402E" w:rsidRDefault="00A07440" w:rsidP="005C402E">
      <w:pPr>
        <w:spacing w:line="240" w:lineRule="auto"/>
      </w:pPr>
    </w:p>
    <w:sectPr w:rsidR="00A07440" w:rsidRPr="005C402E" w:rsidSect="00D55EDB">
      <w:footerReference w:type="default" r:id="rId7"/>
      <w:pgSz w:w="11906" w:h="16838"/>
      <w:pgMar w:top="567" w:right="340" w:bottom="34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24C9" w:rsidRDefault="000D24C9" w:rsidP="00B1003A">
      <w:pPr>
        <w:spacing w:after="0" w:line="240" w:lineRule="auto"/>
      </w:pPr>
      <w:r>
        <w:separator/>
      </w:r>
    </w:p>
  </w:endnote>
  <w:endnote w:type="continuationSeparator" w:id="0">
    <w:p w:rsidR="000D24C9" w:rsidRDefault="000D24C9" w:rsidP="00B10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003A" w:rsidRDefault="00B100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24C9" w:rsidRDefault="000D24C9" w:rsidP="00B1003A">
      <w:pPr>
        <w:spacing w:after="0" w:line="240" w:lineRule="auto"/>
      </w:pPr>
      <w:r>
        <w:separator/>
      </w:r>
    </w:p>
  </w:footnote>
  <w:footnote w:type="continuationSeparator" w:id="0">
    <w:p w:rsidR="000D24C9" w:rsidRDefault="000D24C9" w:rsidP="00B100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525"/>
    <w:multiLevelType w:val="hybridMultilevel"/>
    <w:tmpl w:val="8AA42068"/>
    <w:lvl w:ilvl="0" w:tplc="952EA6E0">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 w15:restartNumberingAfterBreak="0">
    <w:nsid w:val="0369088B"/>
    <w:multiLevelType w:val="hybridMultilevel"/>
    <w:tmpl w:val="27C05852"/>
    <w:lvl w:ilvl="0" w:tplc="AD6C866A">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15:restartNumberingAfterBreak="0">
    <w:nsid w:val="225838F4"/>
    <w:multiLevelType w:val="hybridMultilevel"/>
    <w:tmpl w:val="E29E7D6C"/>
    <w:lvl w:ilvl="0" w:tplc="7728D24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16cid:durableId="806120945">
    <w:abstractNumId w:val="1"/>
  </w:num>
  <w:num w:numId="2" w16cid:durableId="1472480428">
    <w:abstractNumId w:val="0"/>
  </w:num>
  <w:num w:numId="3" w16cid:durableId="1396658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0E"/>
    <w:rsid w:val="00027E08"/>
    <w:rsid w:val="000D24C9"/>
    <w:rsid w:val="000E0D9D"/>
    <w:rsid w:val="000F6D3F"/>
    <w:rsid w:val="002723A9"/>
    <w:rsid w:val="002B0A3C"/>
    <w:rsid w:val="00362C33"/>
    <w:rsid w:val="003B36CD"/>
    <w:rsid w:val="00457835"/>
    <w:rsid w:val="005C402E"/>
    <w:rsid w:val="005D219D"/>
    <w:rsid w:val="006B40E9"/>
    <w:rsid w:val="006C1D24"/>
    <w:rsid w:val="006E5188"/>
    <w:rsid w:val="007D7FD2"/>
    <w:rsid w:val="00884E3B"/>
    <w:rsid w:val="009312CD"/>
    <w:rsid w:val="00A07440"/>
    <w:rsid w:val="00AB55EA"/>
    <w:rsid w:val="00B1003A"/>
    <w:rsid w:val="00B16A68"/>
    <w:rsid w:val="00B3675E"/>
    <w:rsid w:val="00B4270C"/>
    <w:rsid w:val="00BE22CE"/>
    <w:rsid w:val="00D55EDB"/>
    <w:rsid w:val="00D9140E"/>
    <w:rsid w:val="00E613F2"/>
    <w:rsid w:val="00F82514"/>
    <w:rsid w:val="00F95091"/>
    <w:rsid w:val="00FB4B41"/>
    <w:rsid w:val="00FD396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72209"/>
  <w15:docId w15:val="{E6CE7E1C-60FC-0A42-85DF-3967E2B5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40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9140E"/>
    <w:pPr>
      <w:ind w:left="720"/>
      <w:contextualSpacing/>
    </w:pPr>
  </w:style>
  <w:style w:type="paragraph" w:styleId="En-tte">
    <w:name w:val="header"/>
    <w:basedOn w:val="Normal"/>
    <w:link w:val="En-tteCar"/>
    <w:uiPriority w:val="99"/>
    <w:unhideWhenUsed/>
    <w:rsid w:val="00B1003A"/>
    <w:pPr>
      <w:tabs>
        <w:tab w:val="center" w:pos="4536"/>
        <w:tab w:val="right" w:pos="9072"/>
      </w:tabs>
      <w:spacing w:after="0" w:line="240" w:lineRule="auto"/>
    </w:pPr>
  </w:style>
  <w:style w:type="character" w:customStyle="1" w:styleId="En-tteCar">
    <w:name w:val="En-tête Car"/>
    <w:basedOn w:val="Policepardfaut"/>
    <w:link w:val="En-tte"/>
    <w:uiPriority w:val="99"/>
    <w:rsid w:val="00B1003A"/>
  </w:style>
  <w:style w:type="paragraph" w:styleId="Pieddepage">
    <w:name w:val="footer"/>
    <w:basedOn w:val="Normal"/>
    <w:link w:val="PieddepageCar"/>
    <w:uiPriority w:val="99"/>
    <w:unhideWhenUsed/>
    <w:rsid w:val="00B100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003A"/>
  </w:style>
  <w:style w:type="table" w:styleId="Grilledutableau">
    <w:name w:val="Table Grid"/>
    <w:basedOn w:val="TableauNormal"/>
    <w:uiPriority w:val="39"/>
    <w:rsid w:val="00B10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585</Words>
  <Characters>3221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SCHMITZ</dc:creator>
  <cp:lastModifiedBy>MONNIN Philippe</cp:lastModifiedBy>
  <cp:revision>3</cp:revision>
  <dcterms:created xsi:type="dcterms:W3CDTF">2025-07-15T21:23:00Z</dcterms:created>
  <dcterms:modified xsi:type="dcterms:W3CDTF">2025-07-16T21:16:00Z</dcterms:modified>
</cp:coreProperties>
</file>